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773C" w14:textId="77777777" w:rsidR="00137F61" w:rsidRPr="004B0D19" w:rsidRDefault="00137F61" w:rsidP="00137F61">
      <w:pPr>
        <w:shd w:val="clear" w:color="auto" w:fill="FFFFFF"/>
        <w:spacing w:after="165" w:line="240" w:lineRule="auto"/>
        <w:jc w:val="center"/>
        <w:rPr>
          <w:rFonts w:ascii="Titillium Web" w:eastAsia="Times New Roman" w:hAnsi="Titillium Web" w:cs="Times New Roman"/>
          <w:color w:val="212529"/>
          <w:sz w:val="24"/>
          <w:szCs w:val="24"/>
          <w:lang w:eastAsia="it-IT"/>
        </w:rPr>
      </w:pPr>
      <w:r w:rsidRPr="004B0D19">
        <w:rPr>
          <w:rFonts w:ascii="Arial" w:eastAsia="Times New Roman" w:hAnsi="Arial" w:cs="Arial"/>
          <w:b/>
          <w:bCs/>
          <w:color w:val="C0392B"/>
          <w:sz w:val="40"/>
          <w:szCs w:val="40"/>
          <w:shd w:val="clear" w:color="auto" w:fill="FFFFFF"/>
          <w:lang w:eastAsia="it-IT"/>
        </w:rPr>
        <w:t>Presentazione della piattaforma </w:t>
      </w:r>
      <w:r w:rsidRPr="004B0D19">
        <w:rPr>
          <w:rFonts w:ascii="Arial" w:eastAsia="Times New Roman" w:hAnsi="Arial" w:cs="Arial"/>
          <w:b/>
          <w:bCs/>
          <w:i/>
          <w:iCs/>
          <w:color w:val="C0392B"/>
          <w:sz w:val="40"/>
          <w:szCs w:val="40"/>
          <w:shd w:val="clear" w:color="auto" w:fill="FFFFFF"/>
          <w:lang w:eastAsia="it-IT"/>
        </w:rPr>
        <w:t>RESTART</w:t>
      </w:r>
      <w:r w:rsidRPr="004B0D19">
        <w:rPr>
          <w:rFonts w:ascii="Calibri" w:eastAsia="Times New Roman" w:hAnsi="Calibri" w:cs="Calibri"/>
          <w:b/>
          <w:bCs/>
          <w:i/>
          <w:iCs/>
          <w:color w:val="C0392B"/>
          <w:shd w:val="clear" w:color="auto" w:fill="FFFFFF"/>
          <w:lang w:eastAsia="it-IT"/>
        </w:rPr>
        <w:t> </w:t>
      </w:r>
    </w:p>
    <w:p w14:paraId="43DAFBA2" w14:textId="56B763A0" w:rsidR="00137F61" w:rsidRPr="004B0D19" w:rsidRDefault="00137F61" w:rsidP="00137F61">
      <w:pPr>
        <w:shd w:val="clear" w:color="auto" w:fill="FFFFFF"/>
        <w:spacing w:after="165" w:line="240" w:lineRule="auto"/>
        <w:jc w:val="center"/>
        <w:rPr>
          <w:rFonts w:ascii="Titillium Web" w:eastAsia="Times New Roman" w:hAnsi="Titillium Web" w:cs="Times New Roman"/>
          <w:color w:val="212529"/>
          <w:sz w:val="24"/>
          <w:szCs w:val="24"/>
          <w:lang w:eastAsia="it-IT"/>
        </w:rPr>
      </w:pPr>
      <w:r w:rsidRPr="004B0D19">
        <w:rPr>
          <w:rFonts w:ascii="Arial" w:eastAsia="Times New Roman" w:hAnsi="Arial" w:cs="Arial"/>
          <w:b/>
          <w:bCs/>
          <w:color w:val="C0392B"/>
          <w:sz w:val="32"/>
          <w:szCs w:val="32"/>
          <w:shd w:val="clear" w:color="auto" w:fill="FFFFFF"/>
          <w:lang w:eastAsia="it-IT"/>
        </w:rPr>
        <w:t xml:space="preserve">(Panoramica sui bandi camerali </w:t>
      </w:r>
      <w:r w:rsidR="00872B07">
        <w:rPr>
          <w:rFonts w:ascii="Arial" w:eastAsia="Times New Roman" w:hAnsi="Arial" w:cs="Arial"/>
          <w:b/>
          <w:bCs/>
          <w:color w:val="C0392B"/>
          <w:sz w:val="32"/>
          <w:szCs w:val="32"/>
          <w:shd w:val="clear" w:color="auto" w:fill="FFFFFF"/>
          <w:lang w:eastAsia="it-IT"/>
        </w:rPr>
        <w:t xml:space="preserve">del 2026 </w:t>
      </w:r>
      <w:r w:rsidRPr="004B0D19">
        <w:rPr>
          <w:rFonts w:ascii="Arial" w:eastAsia="Times New Roman" w:hAnsi="Arial" w:cs="Arial"/>
          <w:b/>
          <w:bCs/>
          <w:color w:val="C0392B"/>
          <w:sz w:val="32"/>
          <w:szCs w:val="32"/>
          <w:shd w:val="clear" w:color="auto" w:fill="FFFFFF"/>
          <w:lang w:eastAsia="it-IT"/>
        </w:rPr>
        <w:t>di prossima uscita)</w:t>
      </w:r>
    </w:p>
    <w:p w14:paraId="42F45097" w14:textId="77777777" w:rsidR="00137F61" w:rsidRDefault="00137F61" w:rsidP="00137F61">
      <w:pPr>
        <w:shd w:val="clear" w:color="auto" w:fill="FFFFFF"/>
        <w:rPr>
          <w:rFonts w:ascii="Titillium Web" w:hAnsi="Titillium Web"/>
          <w:color w:val="212529"/>
        </w:rPr>
      </w:pPr>
    </w:p>
    <w:p w14:paraId="31C4896C" w14:textId="5547665D" w:rsidR="00137F61" w:rsidRDefault="00137F61" w:rsidP="00137F61">
      <w:pPr>
        <w:pStyle w:val="NormaleWeb"/>
        <w:shd w:val="clear" w:color="auto" w:fill="FFFFFF"/>
        <w:spacing w:before="0" w:beforeAutospacing="0"/>
        <w:jc w:val="both"/>
        <w:rPr>
          <w:rFonts w:ascii="Titillium Web" w:hAnsi="Titillium Web"/>
          <w:color w:val="212529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I bandi promozionali per l’anno 202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(Bando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Associazioni 2026,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Bando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Turismo 2026,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Bando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Ammodernamento macchinari 2026, bando Internazionalizzazione 2026, ect ect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), di prossima apertura, prevedono che le istanze di partecipazione dovranno essere inoltrate </w:t>
      </w:r>
      <w:r>
        <w:rPr>
          <w:rFonts w:ascii="Arial" w:hAnsi="Arial" w:cs="Arial"/>
          <w:color w:val="212529"/>
          <w:sz w:val="22"/>
          <w:szCs w:val="22"/>
          <w:u w:val="single"/>
          <w:shd w:val="clear" w:color="auto" w:fill="FFFFFF"/>
        </w:rPr>
        <w:t>esclusivamente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 attraverso </w:t>
      </w:r>
      <w:r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la nuova piattaforma </w:t>
      </w:r>
      <w:r>
        <w:rPr>
          <w:rFonts w:ascii="Arial" w:hAnsi="Arial" w:cs="Arial"/>
          <w:b/>
          <w:bCs/>
          <w:i/>
          <w:iCs/>
          <w:color w:val="212529"/>
          <w:sz w:val="22"/>
          <w:szCs w:val="22"/>
          <w:shd w:val="clear" w:color="auto" w:fill="FFFFFF"/>
        </w:rPr>
        <w:t>RESTART</w:t>
      </w:r>
      <w:r>
        <w:rPr>
          <w:rFonts w:ascii="Arial" w:hAnsi="Arial" w:cs="Arial"/>
          <w:i/>
          <w:iCs/>
          <w:color w:val="212529"/>
          <w:sz w:val="22"/>
          <w:szCs w:val="22"/>
          <w:shd w:val="clear" w:color="auto" w:fill="FFFFFF"/>
        </w:rPr>
        <w:t>.</w:t>
      </w:r>
    </w:p>
    <w:p w14:paraId="5BD8C288" w14:textId="77777777" w:rsidR="00137F61" w:rsidRDefault="00137F61" w:rsidP="00137F61">
      <w:pPr>
        <w:pStyle w:val="NormaleWeb"/>
        <w:shd w:val="clear" w:color="auto" w:fill="FFFFFF"/>
        <w:spacing w:before="240" w:beforeAutospacing="0"/>
        <w:jc w:val="both"/>
        <w:rPr>
          <w:rFonts w:ascii="Titillium Web" w:hAnsi="Titillium Web"/>
          <w:color w:val="212529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Al fine di rendere note le nuove modalità di presentazione e gestione delle domande di partecipazione ai bandi e per approfondire i contenuti dei bandi stessi la Camera di Commercio di Napoli organizza due webinar gratuiti, con il medesimo contenuto, che si terranno:</w:t>
      </w:r>
    </w:p>
    <w:p w14:paraId="25ABD47E" w14:textId="310ABB62" w:rsidR="00137F61" w:rsidRDefault="00137F61" w:rsidP="00137F61">
      <w:pPr>
        <w:pStyle w:val="NormaleWeb"/>
        <w:shd w:val="clear" w:color="auto" w:fill="FFFFFF"/>
        <w:spacing w:before="240" w:beforeAutospacing="0"/>
        <w:rPr>
          <w:rFonts w:ascii="Titillium Web" w:hAnsi="Titillium Web"/>
          <w:color w:val="212529"/>
        </w:rPr>
      </w:pPr>
      <w:r>
        <w:rPr>
          <w:rFonts w:ascii="Arial" w:hAnsi="Arial" w:cs="Arial"/>
          <w:color w:val="000000"/>
          <w:sz w:val="22"/>
          <w:szCs w:val="22"/>
        </w:rPr>
        <w:t>-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venerdì 17 aprile </w:t>
      </w:r>
      <w:r w:rsidR="00DD648E">
        <w:rPr>
          <w:rFonts w:ascii="Arial" w:hAnsi="Arial" w:cs="Arial"/>
          <w:b/>
          <w:bCs/>
          <w:color w:val="000000"/>
          <w:sz w:val="22"/>
          <w:szCs w:val="22"/>
        </w:rPr>
        <w:t xml:space="preserve">2026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 lunedì 20 aprile 2026, </w:t>
      </w:r>
      <w:r>
        <w:rPr>
          <w:rFonts w:ascii="Arial" w:hAnsi="Arial" w:cs="Arial"/>
          <w:b/>
          <w:bCs/>
          <w:color w:val="000000"/>
          <w:sz w:val="22"/>
          <w:szCs w:val="22"/>
        </w:rPr>
        <w:t>dalle 1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:30 alle </w:t>
      </w:r>
      <w:r>
        <w:rPr>
          <w:rFonts w:ascii="Arial" w:hAnsi="Arial" w:cs="Arial"/>
          <w:b/>
          <w:bCs/>
          <w:color w:val="000000"/>
          <w:sz w:val="22"/>
          <w:szCs w:val="22"/>
        </w:rPr>
        <w:t>12</w:t>
      </w:r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>00.</w:t>
      </w:r>
      <w:r>
        <w:rPr>
          <w:rFonts w:ascii="Calibri" w:hAnsi="Calibri" w:cs="Calibri"/>
          <w:color w:val="212529"/>
          <w:sz w:val="22"/>
          <w:szCs w:val="22"/>
        </w:rPr>
        <w:br/>
      </w:r>
    </w:p>
    <w:p w14:paraId="4C03ADA1" w14:textId="2D728EA3" w:rsidR="00137F61" w:rsidRDefault="00137F61" w:rsidP="00137F61">
      <w:pPr>
        <w:pStyle w:val="NormaleWeb"/>
        <w:shd w:val="clear" w:color="auto" w:fill="FFFFFF"/>
        <w:spacing w:before="240" w:beforeAutospacing="0"/>
        <w:jc w:val="both"/>
        <w:rPr>
          <w:rFonts w:ascii="Titillium Web" w:hAnsi="Titillium Web"/>
          <w:color w:val="212529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Si sottolinea che i predetti bandi prevedono </w:t>
      </w:r>
      <w:r w:rsidRPr="004B0D19">
        <w:rPr>
          <w:rFonts w:ascii="Arial" w:hAnsi="Arial" w:cs="Arial"/>
          <w:color w:val="FF0000"/>
          <w:sz w:val="22"/>
          <w:szCs w:val="22"/>
          <w:shd w:val="clear" w:color="auto" w:fill="FFFFFF"/>
        </w:rPr>
        <w:t>una procedura valutativa a sportello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, secondo la quale l’ordine di precedenza nella graduatoria viene determinato dalla data di spedizione della pratica telematica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(ID DOMANDA)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ed è, pertanto, importante comprendere le esatte modalità di invio attraverso la nuova piattaforma.</w:t>
      </w:r>
    </w:p>
    <w:p w14:paraId="4428DABF" w14:textId="73D707AB" w:rsidR="00137F61" w:rsidRPr="00137F61" w:rsidRDefault="00137F61" w:rsidP="00137F61">
      <w:pPr>
        <w:pStyle w:val="NormaleWeb"/>
        <w:shd w:val="clear" w:color="auto" w:fill="FFFFFF"/>
        <w:spacing w:before="240" w:beforeAutospacing="0" w:after="165" w:afterAutospacing="0"/>
        <w:jc w:val="both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 xml:space="preserve">Per partecipare all'iniziativa è necessario procedere all'iscrizione attraverso il seguente </w:t>
      </w:r>
      <w:r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 xml:space="preserve">link: </w:t>
      </w:r>
      <w:hyperlink r:id="rId5" w:history="1">
        <w:r w:rsidRPr="00137F61">
          <w:rPr>
            <w:rStyle w:val="Collegamentoipertestuale"/>
            <w:rFonts w:ascii="Trebuchet MS" w:hAnsi="Trebuchet MS"/>
            <w:sz w:val="20"/>
            <w:szCs w:val="20"/>
            <w:shd w:val="clear" w:color="auto" w:fill="FFFFFF"/>
          </w:rPr>
          <w:t>https://conference-web-it.zoom.us/webinar/register/WN__BmOOGC7SSu34GZi829WZQ#/registration</w:t>
        </w:r>
      </w:hyperlink>
    </w:p>
    <w:p w14:paraId="6E5CA262" w14:textId="77777777" w:rsidR="00137F61" w:rsidRDefault="00137F61" w:rsidP="00137F61">
      <w:pPr>
        <w:pStyle w:val="NormaleWeb"/>
        <w:shd w:val="clear" w:color="auto" w:fill="FFFFFF"/>
        <w:spacing w:before="240" w:beforeAutospacing="0"/>
        <w:jc w:val="both"/>
        <w:rPr>
          <w:rFonts w:ascii="Titillium Web" w:hAnsi="Titillium Web"/>
          <w:color w:val="212529"/>
        </w:rPr>
      </w:pPr>
      <w:r>
        <w:rPr>
          <w:rFonts w:ascii="Arial" w:hAnsi="Arial" w:cs="Arial"/>
          <w:b/>
          <w:bCs/>
          <w:color w:val="C0392B"/>
          <w:sz w:val="22"/>
          <w:szCs w:val="22"/>
        </w:rPr>
        <w:t>Informazioni ulteriori:</w:t>
      </w:r>
    </w:p>
    <w:p w14:paraId="72CE7100" w14:textId="77777777" w:rsidR="00137F61" w:rsidRDefault="00137F61" w:rsidP="00137F61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Titillium Web" w:hAnsi="Titillium Web"/>
          <w:color w:val="212529"/>
        </w:rPr>
      </w:pPr>
      <w:r>
        <w:rPr>
          <w:rFonts w:ascii="Arial" w:hAnsi="Arial" w:cs="Arial"/>
          <w:color w:val="000000"/>
        </w:rPr>
        <w:t>Il webinar sarà gestito da relatori InfoCamere. Non ci sono limiti al numero di iscritti.</w:t>
      </w:r>
    </w:p>
    <w:p w14:paraId="74D20050" w14:textId="77777777" w:rsidR="00137F61" w:rsidRDefault="00137F61" w:rsidP="00137F6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jc w:val="both"/>
        <w:rPr>
          <w:rFonts w:ascii="Titillium Web" w:hAnsi="Titillium Web"/>
          <w:color w:val="212529"/>
        </w:rPr>
      </w:pPr>
      <w:r>
        <w:rPr>
          <w:rFonts w:ascii="Arial" w:hAnsi="Arial" w:cs="Arial"/>
          <w:color w:val="000000"/>
        </w:rPr>
        <w:t>L’adesione all’iniziativa è a titolo gratuito</w:t>
      </w:r>
    </w:p>
    <w:p w14:paraId="3762EBE2" w14:textId="77777777" w:rsidR="00137F61" w:rsidRDefault="00137F61" w:rsidP="00137F61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69000974" w14:textId="77777777" w:rsidR="00137F61" w:rsidRDefault="00137F61" w:rsidP="00137F61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41778480" w14:textId="77777777" w:rsidR="00137F61" w:rsidRDefault="00137F61" w:rsidP="00137F61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12308C8" w14:textId="77777777" w:rsidR="00137F61" w:rsidRDefault="00137F61" w:rsidP="00137F61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581491CF" w14:textId="77777777" w:rsidR="00137F61" w:rsidRDefault="00137F61" w:rsidP="00137F61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82A9209" w14:textId="77777777" w:rsidR="00137F61" w:rsidRDefault="00137F61" w:rsidP="00137F61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043122F6" w14:textId="77777777" w:rsidR="00137F61" w:rsidRPr="00801EE2" w:rsidRDefault="00137F61" w:rsidP="00137F61">
      <w:pPr>
        <w:shd w:val="clear" w:color="auto" w:fill="FFFFFF"/>
        <w:spacing w:after="75" w:line="240" w:lineRule="auto"/>
        <w:rPr>
          <w:rFonts w:ascii="Titillium Web" w:eastAsia="Times New Roman" w:hAnsi="Titillium Web" w:cs="Times New Roman"/>
          <w:color w:val="212529"/>
          <w:sz w:val="24"/>
          <w:szCs w:val="24"/>
          <w:lang w:eastAsia="it-IT"/>
        </w:rPr>
      </w:pPr>
      <w:r w:rsidRPr="00801EE2">
        <w:rPr>
          <w:rFonts w:ascii="Titillium Web" w:eastAsia="Times New Roman" w:hAnsi="Titillium Web" w:cs="Times New Roman"/>
          <w:color w:val="212529"/>
          <w:sz w:val="24"/>
          <w:szCs w:val="24"/>
          <w:lang w:eastAsia="it-IT"/>
        </w:rPr>
        <w:t> </w:t>
      </w:r>
    </w:p>
    <w:p w14:paraId="6C16F9FA" w14:textId="77777777" w:rsidR="00137F61" w:rsidRDefault="00137F61" w:rsidP="00137F61"/>
    <w:p w14:paraId="73C62E7C" w14:textId="77777777" w:rsidR="00137F61" w:rsidRDefault="00137F61"/>
    <w:sectPr w:rsidR="00137F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3E7"/>
    <w:multiLevelType w:val="multilevel"/>
    <w:tmpl w:val="45E4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61"/>
    <w:rsid w:val="00137F61"/>
    <w:rsid w:val="00872B07"/>
    <w:rsid w:val="009C20FC"/>
    <w:rsid w:val="00D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7E80"/>
  <w15:chartTrackingRefBased/>
  <w15:docId w15:val="{F5E73D19-7DAD-4C2E-B53C-B128156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F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7F6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ference-web-it.zoom.us/webinar/register/WN__BmOOGC7SSu34GZi829WZQ#/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 NAPOLI</dc:creator>
  <cp:keywords/>
  <dc:description/>
  <cp:lastModifiedBy>CCIAA NAPOLI</cp:lastModifiedBy>
  <cp:revision>2</cp:revision>
  <cp:lastPrinted>2026-04-15T07:56:00Z</cp:lastPrinted>
  <dcterms:created xsi:type="dcterms:W3CDTF">2026-04-15T07:50:00Z</dcterms:created>
  <dcterms:modified xsi:type="dcterms:W3CDTF">2026-04-15T08:00:00Z</dcterms:modified>
</cp:coreProperties>
</file>